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1A" w:rsidRDefault="0031631A" w:rsidP="00EF5082">
      <w:pPr>
        <w:pStyle w:val="NormalWeb"/>
        <w:rPr>
          <w:rFonts w:ascii="Helvetica" w:hAnsi="Helvetica"/>
          <w:color w:val="1D2129"/>
          <w:sz w:val="21"/>
          <w:szCs w:val="21"/>
        </w:rPr>
      </w:pPr>
      <w:r>
        <w:rPr>
          <w:rFonts w:ascii="Helvetica" w:hAnsi="Helvetica"/>
          <w:color w:val="1D2129"/>
          <w:sz w:val="21"/>
          <w:szCs w:val="21"/>
        </w:rPr>
        <w:t>Lock-</w:t>
      </w:r>
      <w:proofErr w:type="spellStart"/>
      <w:r>
        <w:rPr>
          <w:rFonts w:ascii="Helvetica" w:hAnsi="Helvetica"/>
          <w:color w:val="1D2129"/>
          <w:sz w:val="21"/>
          <w:szCs w:val="21"/>
        </w:rPr>
        <w:t>ons</w:t>
      </w:r>
      <w:proofErr w:type="spellEnd"/>
      <w:r>
        <w:rPr>
          <w:rFonts w:ascii="Helvetica" w:hAnsi="Helvetica"/>
          <w:color w:val="1D2129"/>
          <w:sz w:val="21"/>
          <w:szCs w:val="21"/>
        </w:rPr>
        <w:t xml:space="preserve"> at DSEI:  their link to NSA/NRO Menwith Hill</w:t>
      </w:r>
    </w:p>
    <w:p w:rsidR="0031631A" w:rsidRDefault="0031631A" w:rsidP="00EF5082">
      <w:pPr>
        <w:pStyle w:val="NormalWeb"/>
        <w:rPr>
          <w:rFonts w:ascii="Helvetica" w:hAnsi="Helvetica"/>
          <w:color w:val="1D2129"/>
          <w:sz w:val="21"/>
          <w:szCs w:val="21"/>
        </w:rPr>
      </w:pPr>
    </w:p>
    <w:p w:rsidR="00CE3189" w:rsidRDefault="00C4398B" w:rsidP="00EF5082">
      <w:pPr>
        <w:pStyle w:val="NormalWeb"/>
        <w:rPr>
          <w:rFonts w:ascii="Helvetica" w:hAnsi="Helvetica"/>
          <w:color w:val="1D2129"/>
          <w:sz w:val="21"/>
          <w:szCs w:val="21"/>
        </w:rPr>
      </w:pPr>
      <w:r>
        <w:rPr>
          <w:rFonts w:ascii="Helvetica" w:hAnsi="Helvetica"/>
          <w:color w:val="1D2129"/>
          <w:sz w:val="21"/>
          <w:szCs w:val="21"/>
        </w:rPr>
        <w:t>On Friday 12th January, after a THREE DAY trail at Stratford Magistrates and Youth Court, the act</w:t>
      </w:r>
      <w:r w:rsidR="00CE3189">
        <w:rPr>
          <w:rFonts w:ascii="Helvetica" w:hAnsi="Helvetica"/>
          <w:color w:val="1D2129"/>
          <w:sz w:val="21"/>
          <w:szCs w:val="21"/>
        </w:rPr>
        <w:t>ivists involved in the lock-</w:t>
      </w:r>
      <w:proofErr w:type="spellStart"/>
      <w:r w:rsidR="00CE3189">
        <w:rPr>
          <w:rFonts w:ascii="Helvetica" w:hAnsi="Helvetica"/>
          <w:color w:val="1D2129"/>
          <w:sz w:val="21"/>
          <w:szCs w:val="21"/>
        </w:rPr>
        <w:t>ons</w:t>
      </w:r>
      <w:proofErr w:type="spellEnd"/>
      <w:r>
        <w:rPr>
          <w:rFonts w:ascii="Helvetica" w:hAnsi="Helvetica"/>
          <w:color w:val="1D2129"/>
          <w:sz w:val="21"/>
          <w:szCs w:val="21"/>
        </w:rPr>
        <w:t xml:space="preserve"> at DSEI</w:t>
      </w:r>
      <w:r w:rsidR="00CE3189">
        <w:rPr>
          <w:rFonts w:ascii="Helvetica" w:hAnsi="Helvetica"/>
          <w:color w:val="1D2129"/>
          <w:sz w:val="21"/>
          <w:szCs w:val="21"/>
        </w:rPr>
        <w:t xml:space="preserve"> (Defence and Security Equipment International)</w:t>
      </w:r>
      <w:r>
        <w:rPr>
          <w:rFonts w:ascii="Helvetica" w:hAnsi="Helvetica"/>
          <w:color w:val="1D2129"/>
          <w:sz w:val="21"/>
          <w:szCs w:val="21"/>
        </w:rPr>
        <w:t>, the despicable Arms Trade Fair</w:t>
      </w:r>
      <w:r w:rsidR="00CE3189">
        <w:rPr>
          <w:rFonts w:ascii="Helvetica" w:hAnsi="Helvetica"/>
          <w:color w:val="1D2129"/>
          <w:sz w:val="21"/>
          <w:szCs w:val="21"/>
        </w:rPr>
        <w:t>,</w:t>
      </w:r>
      <w:r>
        <w:rPr>
          <w:rFonts w:ascii="Helvetica" w:hAnsi="Helvetica"/>
          <w:color w:val="1D2129"/>
          <w:sz w:val="21"/>
          <w:szCs w:val="21"/>
        </w:rPr>
        <w:t xml:space="preserve"> were found guilt</w:t>
      </w:r>
      <w:r w:rsidR="00CE3189">
        <w:rPr>
          <w:rFonts w:ascii="Helvetica" w:hAnsi="Helvetica"/>
          <w:color w:val="1D2129"/>
          <w:sz w:val="21"/>
          <w:szCs w:val="21"/>
        </w:rPr>
        <w:t>y of Obstruction of the Highway.  A</w:t>
      </w:r>
      <w:r>
        <w:rPr>
          <w:rFonts w:ascii="Helvetica" w:hAnsi="Helvetica"/>
          <w:color w:val="1D2129"/>
          <w:sz w:val="21"/>
          <w:szCs w:val="21"/>
        </w:rPr>
        <w:t>ll defendants were fin</w:t>
      </w:r>
      <w:r w:rsidR="00CE3189">
        <w:rPr>
          <w:rFonts w:ascii="Helvetica" w:hAnsi="Helvetica"/>
          <w:color w:val="1D2129"/>
          <w:sz w:val="21"/>
          <w:szCs w:val="21"/>
        </w:rPr>
        <w:t>ed £200 each.  T</w:t>
      </w:r>
      <w:r>
        <w:rPr>
          <w:rFonts w:ascii="Helvetica" w:hAnsi="Helvetica"/>
          <w:color w:val="1D2129"/>
          <w:sz w:val="21"/>
          <w:szCs w:val="21"/>
        </w:rPr>
        <w:t xml:space="preserve">he four who joined Yorkshire CND on No Nuclear Day (6th September 2017) were Matt Black, Guillaume </w:t>
      </w:r>
      <w:proofErr w:type="spellStart"/>
      <w:r>
        <w:rPr>
          <w:rFonts w:ascii="Helvetica" w:hAnsi="Helvetica"/>
          <w:color w:val="1D2129"/>
          <w:sz w:val="21"/>
          <w:szCs w:val="21"/>
        </w:rPr>
        <w:t>Chomé</w:t>
      </w:r>
      <w:proofErr w:type="spellEnd"/>
      <w:r w:rsidR="00CE3189">
        <w:rPr>
          <w:rFonts w:ascii="Helvetica" w:hAnsi="Helvetica"/>
          <w:color w:val="1D2129"/>
          <w:sz w:val="21"/>
          <w:szCs w:val="21"/>
        </w:rPr>
        <w:t>,</w:t>
      </w:r>
      <w:r>
        <w:rPr>
          <w:rFonts w:ascii="Helvetica" w:hAnsi="Helvetica"/>
          <w:color w:val="1D2129"/>
          <w:sz w:val="21"/>
          <w:szCs w:val="21"/>
        </w:rPr>
        <w:t xml:space="preserve"> Bryony Moore </w:t>
      </w:r>
      <w:r w:rsidR="00CE3189">
        <w:rPr>
          <w:rFonts w:ascii="Helvetica" w:hAnsi="Helvetica"/>
          <w:color w:val="1D2129"/>
          <w:sz w:val="21"/>
          <w:szCs w:val="21"/>
        </w:rPr>
        <w:t xml:space="preserve">and </w:t>
      </w:r>
      <w:hyperlink r:id="rId4" w:tgtFrame="_parent" w:history="1">
        <w:r>
          <w:rPr>
            <w:rStyle w:val="Hyperlink"/>
            <w:rFonts w:ascii="inherit" w:hAnsi="inherit"/>
            <w:color w:val="365899"/>
            <w:sz w:val="21"/>
            <w:szCs w:val="21"/>
          </w:rPr>
          <w:t>Brigid Mary Oates</w:t>
        </w:r>
      </w:hyperlink>
      <w:r>
        <w:rPr>
          <w:rFonts w:ascii="Helvetica" w:hAnsi="Helvetica"/>
          <w:color w:val="1D2129"/>
          <w:sz w:val="21"/>
          <w:szCs w:val="21"/>
        </w:rPr>
        <w:t>.</w:t>
      </w:r>
    </w:p>
    <w:p w:rsidR="00EF5082" w:rsidRDefault="00EF5082" w:rsidP="00EF5082">
      <w:pPr>
        <w:pStyle w:val="NormalWeb"/>
        <w:rPr>
          <w:rFonts w:ascii="Helvetica" w:hAnsi="Helvetica"/>
          <w:color w:val="1D2129"/>
          <w:sz w:val="21"/>
          <w:szCs w:val="21"/>
        </w:rPr>
      </w:pPr>
    </w:p>
    <w:p w:rsidR="00EF5082" w:rsidRDefault="00C4398B" w:rsidP="00EF5082">
      <w:pPr>
        <w:pStyle w:val="NormalWeb"/>
        <w:rPr>
          <w:rFonts w:ascii="Helvetica" w:hAnsi="Helvetica"/>
          <w:color w:val="1D2129"/>
          <w:sz w:val="21"/>
          <w:szCs w:val="21"/>
        </w:rPr>
      </w:pPr>
      <w:r>
        <w:rPr>
          <w:rFonts w:ascii="Helvetica" w:hAnsi="Helvetica"/>
          <w:color w:val="1D2129"/>
          <w:sz w:val="21"/>
          <w:szCs w:val="21"/>
        </w:rPr>
        <w:t>The defence was to plea that the protesters had acted in a reasonable manner to carry out their democratic right to protes</w:t>
      </w:r>
      <w:r w:rsidR="00EF5082">
        <w:rPr>
          <w:rFonts w:ascii="Helvetica" w:hAnsi="Helvetica"/>
          <w:color w:val="1D2129"/>
          <w:sz w:val="21"/>
          <w:szCs w:val="21"/>
        </w:rPr>
        <w:t xml:space="preserve">t </w:t>
      </w:r>
      <w:r>
        <w:rPr>
          <w:rFonts w:ascii="Helvetica" w:hAnsi="Helvetica"/>
          <w:color w:val="1D2129"/>
          <w:sz w:val="21"/>
          <w:szCs w:val="21"/>
        </w:rPr>
        <w:t>according to Article</w:t>
      </w:r>
      <w:r w:rsidR="00EF5082">
        <w:rPr>
          <w:rFonts w:ascii="Helvetica" w:hAnsi="Helvetica"/>
          <w:color w:val="1D2129"/>
          <w:sz w:val="21"/>
          <w:szCs w:val="21"/>
        </w:rPr>
        <w:t>s</w:t>
      </w:r>
      <w:r>
        <w:rPr>
          <w:rFonts w:ascii="Helvetica" w:hAnsi="Helvetica"/>
          <w:color w:val="1D2129"/>
          <w:sz w:val="21"/>
          <w:szCs w:val="21"/>
        </w:rPr>
        <w:t xml:space="preserve"> !0 and 11 </w:t>
      </w:r>
      <w:r w:rsidR="00CE3189">
        <w:rPr>
          <w:rFonts w:ascii="Helvetica" w:hAnsi="Helvetica"/>
          <w:color w:val="1D2129"/>
          <w:sz w:val="21"/>
          <w:szCs w:val="21"/>
        </w:rPr>
        <w:t xml:space="preserve">of the Human Rights Act (1998) which cover our rights to freedom of expression, </w:t>
      </w:r>
      <w:r>
        <w:rPr>
          <w:rFonts w:ascii="Helvetica" w:hAnsi="Helvetica"/>
          <w:color w:val="1D2129"/>
          <w:sz w:val="21"/>
          <w:szCs w:val="21"/>
        </w:rPr>
        <w:t xml:space="preserve">to protest and </w:t>
      </w:r>
      <w:r w:rsidR="00CE3189">
        <w:rPr>
          <w:rFonts w:ascii="Helvetica" w:hAnsi="Helvetica"/>
          <w:color w:val="1D2129"/>
          <w:sz w:val="21"/>
          <w:szCs w:val="21"/>
        </w:rPr>
        <w:t xml:space="preserve">to </w:t>
      </w:r>
      <w:r>
        <w:rPr>
          <w:rFonts w:ascii="Helvetica" w:hAnsi="Helvetica"/>
          <w:color w:val="1D2129"/>
          <w:sz w:val="21"/>
          <w:szCs w:val="21"/>
        </w:rPr>
        <w:t xml:space="preserve">freedom of association. </w:t>
      </w:r>
    </w:p>
    <w:p w:rsidR="00EF5082" w:rsidRDefault="00EF5082" w:rsidP="00EF5082">
      <w:pPr>
        <w:pStyle w:val="NormalWeb"/>
        <w:rPr>
          <w:rFonts w:ascii="Helvetica" w:hAnsi="Helvetica"/>
          <w:color w:val="1D2129"/>
          <w:sz w:val="21"/>
          <w:szCs w:val="21"/>
        </w:rPr>
      </w:pPr>
    </w:p>
    <w:p w:rsidR="00EF5082" w:rsidRDefault="00C4398B" w:rsidP="00EF5082">
      <w:pPr>
        <w:pStyle w:val="NormalWeb"/>
        <w:rPr>
          <w:rFonts w:ascii="Helvetica" w:hAnsi="Helvetica"/>
          <w:color w:val="1D2129"/>
          <w:sz w:val="21"/>
          <w:szCs w:val="21"/>
        </w:rPr>
      </w:pPr>
      <w:r>
        <w:rPr>
          <w:rFonts w:ascii="Helvetica" w:hAnsi="Helvetica"/>
          <w:color w:val="1D2129"/>
          <w:sz w:val="21"/>
          <w:szCs w:val="21"/>
        </w:rPr>
        <w:t>All defendants were described as "intelligent, artic</w:t>
      </w:r>
      <w:r w:rsidR="00EF5082">
        <w:rPr>
          <w:rFonts w:ascii="Helvetica" w:hAnsi="Helvetica"/>
          <w:color w:val="1D2129"/>
          <w:sz w:val="21"/>
          <w:szCs w:val="21"/>
        </w:rPr>
        <w:t>ulate and compassionate people";</w:t>
      </w:r>
      <w:r>
        <w:rPr>
          <w:rFonts w:ascii="Helvetica" w:hAnsi="Helvetica"/>
          <w:color w:val="1D2129"/>
          <w:sz w:val="21"/>
          <w:szCs w:val="21"/>
        </w:rPr>
        <w:t xml:space="preserve"> the ju</w:t>
      </w:r>
      <w:r w:rsidR="00EF5082">
        <w:rPr>
          <w:rFonts w:ascii="Helvetica" w:hAnsi="Helvetica"/>
          <w:color w:val="1D2129"/>
          <w:sz w:val="21"/>
          <w:szCs w:val="21"/>
        </w:rPr>
        <w:t xml:space="preserve">dge made reference to their </w:t>
      </w:r>
      <w:r>
        <w:rPr>
          <w:rFonts w:ascii="Helvetica" w:hAnsi="Helvetica"/>
          <w:color w:val="1D2129"/>
          <w:sz w:val="21"/>
          <w:szCs w:val="21"/>
        </w:rPr>
        <w:t xml:space="preserve">individual specialisms and approaches to the protest and </w:t>
      </w:r>
      <w:r w:rsidR="00EF5082">
        <w:rPr>
          <w:rFonts w:ascii="Helvetica" w:hAnsi="Helvetica"/>
          <w:color w:val="1D2129"/>
          <w:sz w:val="21"/>
          <w:szCs w:val="21"/>
        </w:rPr>
        <w:t xml:space="preserve">to </w:t>
      </w:r>
      <w:r>
        <w:rPr>
          <w:rFonts w:ascii="Helvetica" w:hAnsi="Helvetica"/>
          <w:color w:val="1D2129"/>
          <w:sz w:val="21"/>
          <w:szCs w:val="21"/>
        </w:rPr>
        <w:t>why the defendants felt justified to take such action. At times the evidence shared was traumatic to hear and evoked an</w:t>
      </w:r>
      <w:r w:rsidR="00EF5082">
        <w:rPr>
          <w:rFonts w:ascii="Helvetica" w:hAnsi="Helvetica"/>
          <w:color w:val="1D2129"/>
          <w:sz w:val="21"/>
          <w:szCs w:val="21"/>
        </w:rPr>
        <w:t xml:space="preserve"> emotional response from counsel, judge and</w:t>
      </w:r>
      <w:r>
        <w:rPr>
          <w:rFonts w:ascii="Helvetica" w:hAnsi="Helvetica"/>
          <w:color w:val="1D2129"/>
          <w:sz w:val="21"/>
          <w:szCs w:val="21"/>
        </w:rPr>
        <w:t xml:space="preserve"> prosecutor as well as </w:t>
      </w:r>
      <w:r w:rsidR="00EF5082">
        <w:rPr>
          <w:rFonts w:ascii="Helvetica" w:hAnsi="Helvetica"/>
          <w:color w:val="1D2129"/>
          <w:sz w:val="21"/>
          <w:szCs w:val="21"/>
        </w:rPr>
        <w:t xml:space="preserve">from </w:t>
      </w:r>
      <w:r>
        <w:rPr>
          <w:rFonts w:ascii="Helvetica" w:hAnsi="Helvetica"/>
          <w:color w:val="1D2129"/>
          <w:sz w:val="21"/>
          <w:szCs w:val="21"/>
        </w:rPr>
        <w:t xml:space="preserve">supporters. </w:t>
      </w:r>
    </w:p>
    <w:p w:rsidR="00EF5082" w:rsidRDefault="00EF5082" w:rsidP="00EF5082">
      <w:pPr>
        <w:pStyle w:val="NormalWeb"/>
        <w:rPr>
          <w:rFonts w:ascii="Helvetica" w:hAnsi="Helvetica"/>
          <w:color w:val="1D2129"/>
          <w:sz w:val="21"/>
          <w:szCs w:val="21"/>
        </w:rPr>
      </w:pPr>
    </w:p>
    <w:p w:rsidR="0031631A" w:rsidRDefault="003228CC" w:rsidP="00EF5082">
      <w:pPr>
        <w:pStyle w:val="NormalWeb"/>
        <w:rPr>
          <w:rFonts w:ascii="Helvetica" w:hAnsi="Helvetica"/>
          <w:color w:val="1D2129"/>
          <w:sz w:val="21"/>
          <w:szCs w:val="21"/>
        </w:rPr>
      </w:pPr>
      <w:r>
        <w:rPr>
          <w:rFonts w:ascii="Helvetica" w:hAnsi="Helvetica"/>
          <w:color w:val="1D2129"/>
          <w:sz w:val="21"/>
          <w:szCs w:val="21"/>
        </w:rPr>
        <w:t>The District J</w:t>
      </w:r>
      <w:r w:rsidR="00C4398B">
        <w:rPr>
          <w:rFonts w:ascii="Helvetica" w:hAnsi="Helvetica"/>
          <w:color w:val="1D2129"/>
          <w:sz w:val="21"/>
          <w:szCs w:val="21"/>
        </w:rPr>
        <w:t>udge ruled that the prosecution had proven that the protesters had not been reasonable in their protest.</w:t>
      </w:r>
    </w:p>
    <w:p w:rsidR="003228CC" w:rsidRDefault="00C4398B" w:rsidP="00EF5082">
      <w:pPr>
        <w:pStyle w:val="NormalWeb"/>
        <w:rPr>
          <w:rFonts w:ascii="Helvetica" w:hAnsi="Helvetica"/>
          <w:color w:val="1D2129"/>
          <w:sz w:val="21"/>
          <w:szCs w:val="21"/>
        </w:rPr>
      </w:pPr>
      <w:r>
        <w:rPr>
          <w:rFonts w:ascii="Helvetica" w:hAnsi="Helvetica"/>
          <w:color w:val="1D2129"/>
          <w:sz w:val="21"/>
          <w:szCs w:val="21"/>
        </w:rPr>
        <w:br/>
        <w:t>Menwith Hill Accoun</w:t>
      </w:r>
      <w:r w:rsidR="00EF5082">
        <w:rPr>
          <w:rFonts w:ascii="Helvetica" w:hAnsi="Helvetica"/>
          <w:color w:val="1D2129"/>
          <w:sz w:val="21"/>
          <w:szCs w:val="21"/>
        </w:rPr>
        <w:t xml:space="preserve">tability Campaign – like </w:t>
      </w:r>
      <w:r w:rsidR="003228CC">
        <w:rPr>
          <w:rFonts w:ascii="Helvetica" w:hAnsi="Helvetica"/>
          <w:color w:val="1D2129"/>
          <w:sz w:val="21"/>
          <w:szCs w:val="21"/>
        </w:rPr>
        <w:t>the Campaign for the Accountability of American Bases</w:t>
      </w:r>
      <w:r>
        <w:rPr>
          <w:rFonts w:ascii="Helvetica" w:hAnsi="Helvetica"/>
          <w:color w:val="1D2129"/>
          <w:sz w:val="21"/>
          <w:szCs w:val="21"/>
        </w:rPr>
        <w:t xml:space="preserve"> </w:t>
      </w:r>
      <w:r w:rsidR="003228CC">
        <w:rPr>
          <w:rFonts w:ascii="Helvetica" w:hAnsi="Helvetica"/>
          <w:color w:val="1D2129"/>
          <w:sz w:val="21"/>
          <w:szCs w:val="21"/>
        </w:rPr>
        <w:t xml:space="preserve">before it – is </w:t>
      </w:r>
      <w:r>
        <w:rPr>
          <w:rFonts w:ascii="Helvetica" w:hAnsi="Helvetica"/>
          <w:color w:val="1D2129"/>
          <w:sz w:val="21"/>
          <w:szCs w:val="21"/>
        </w:rPr>
        <w:t>opposed to the DSEI arms fair that is</w:t>
      </w:r>
      <w:r w:rsidR="00EF5082">
        <w:rPr>
          <w:rFonts w:ascii="Helvetica" w:hAnsi="Helvetica"/>
          <w:color w:val="1D2129"/>
          <w:sz w:val="21"/>
          <w:szCs w:val="21"/>
        </w:rPr>
        <w:t xml:space="preserve"> h</w:t>
      </w:r>
      <w:r w:rsidR="0031631A">
        <w:rPr>
          <w:rFonts w:ascii="Helvetica" w:hAnsi="Helvetica"/>
          <w:color w:val="1D2129"/>
          <w:sz w:val="21"/>
          <w:szCs w:val="21"/>
        </w:rPr>
        <w:t>eld every two years in London.</w:t>
      </w:r>
    </w:p>
    <w:p w:rsidR="003228CC" w:rsidRDefault="00C4398B" w:rsidP="00D558A6">
      <w:pPr>
        <w:pStyle w:val="NormalWeb"/>
        <w:rPr>
          <w:rFonts w:ascii="Helvetica" w:hAnsi="Helvetica"/>
          <w:color w:val="1D2129"/>
          <w:sz w:val="21"/>
          <w:szCs w:val="21"/>
        </w:rPr>
      </w:pPr>
      <w:r>
        <w:rPr>
          <w:rFonts w:ascii="Helvetica" w:hAnsi="Helvetica"/>
          <w:color w:val="1D2129"/>
          <w:sz w:val="21"/>
          <w:szCs w:val="21"/>
        </w:rPr>
        <w:br/>
        <w:t>Some of the evidence provided by defendants included the plight of children in war zon</w:t>
      </w:r>
      <w:r w:rsidR="003228CC">
        <w:rPr>
          <w:rFonts w:ascii="Helvetica" w:hAnsi="Helvetica"/>
          <w:color w:val="1D2129"/>
          <w:sz w:val="21"/>
          <w:szCs w:val="21"/>
        </w:rPr>
        <w:t>es and the trauma this causes, i</w:t>
      </w:r>
      <w:r>
        <w:rPr>
          <w:rFonts w:ascii="Helvetica" w:hAnsi="Helvetica"/>
          <w:color w:val="1D2129"/>
          <w:sz w:val="21"/>
          <w:szCs w:val="21"/>
        </w:rPr>
        <w:t>n particular in Yemen.</w:t>
      </w:r>
    </w:p>
    <w:p w:rsidR="00C4398B" w:rsidRDefault="003228CC" w:rsidP="00D558A6">
      <w:pPr>
        <w:pStyle w:val="NormalWeb"/>
        <w:rPr>
          <w:rFonts w:ascii="Helvetica" w:hAnsi="Helvetica"/>
          <w:color w:val="1D2129"/>
          <w:sz w:val="21"/>
          <w:szCs w:val="21"/>
        </w:rPr>
      </w:pPr>
      <w:r>
        <w:rPr>
          <w:rFonts w:ascii="Helvetica" w:hAnsi="Helvetica"/>
          <w:color w:val="1D2129"/>
          <w:sz w:val="21"/>
          <w:szCs w:val="21"/>
        </w:rPr>
        <w:br/>
        <w:t>Edward S</w:t>
      </w:r>
      <w:r w:rsidR="00C4398B">
        <w:rPr>
          <w:rFonts w:ascii="Helvetica" w:hAnsi="Helvetica"/>
          <w:color w:val="1D2129"/>
          <w:sz w:val="21"/>
          <w:szCs w:val="21"/>
        </w:rPr>
        <w:t xml:space="preserve">nowden in his leaked documents made reference </w:t>
      </w:r>
      <w:r>
        <w:rPr>
          <w:rFonts w:ascii="Helvetica" w:hAnsi="Helvetica"/>
          <w:color w:val="1D2129"/>
          <w:sz w:val="21"/>
          <w:szCs w:val="21"/>
        </w:rPr>
        <w:t>to Menwith Hill's involvement in surveillance of</w:t>
      </w:r>
      <w:r w:rsidR="00C4398B">
        <w:rPr>
          <w:rFonts w:ascii="Helvetica" w:hAnsi="Helvetica"/>
          <w:color w:val="1D2129"/>
          <w:sz w:val="21"/>
          <w:szCs w:val="21"/>
        </w:rPr>
        <w:t xml:space="preserve"> Middle East Countries, The leaked documents reveal that, for years, the UK and US governments put out a "cover story" that Menwith Hill Station was used to provide "rapid radio relay and co</w:t>
      </w:r>
      <w:r>
        <w:rPr>
          <w:rFonts w:ascii="Helvetica" w:hAnsi="Helvetica"/>
          <w:color w:val="1D2129"/>
          <w:sz w:val="21"/>
          <w:szCs w:val="21"/>
        </w:rPr>
        <w:t xml:space="preserve">nduct communications research.”  </w:t>
      </w:r>
      <w:r w:rsidR="00C4398B">
        <w:rPr>
          <w:rFonts w:ascii="Helvetica" w:hAnsi="Helvetica"/>
          <w:color w:val="1D2129"/>
          <w:sz w:val="21"/>
          <w:szCs w:val="21"/>
        </w:rPr>
        <w:t>In</w:t>
      </w:r>
      <w:r>
        <w:rPr>
          <w:rFonts w:ascii="Helvetica" w:hAnsi="Helvetica"/>
          <w:color w:val="1D2129"/>
          <w:sz w:val="21"/>
          <w:szCs w:val="21"/>
        </w:rPr>
        <w:t xml:space="preserve"> fact, its striking white domes - around 30 of them - </w:t>
      </w:r>
      <w:r w:rsidR="00C4398B">
        <w:rPr>
          <w:rFonts w:ascii="Helvetica" w:hAnsi="Helvetica"/>
          <w:color w:val="1D2129"/>
          <w:sz w:val="21"/>
          <w:szCs w:val="21"/>
        </w:rPr>
        <w:t>are used to eavesdrop on communications as they are sent through the air from satellites.</w:t>
      </w:r>
    </w:p>
    <w:p w:rsidR="00D558A6" w:rsidRDefault="00D558A6" w:rsidP="00D558A6">
      <w:pPr>
        <w:pStyle w:val="NormalWeb"/>
        <w:rPr>
          <w:rFonts w:ascii="Helvetica" w:hAnsi="Helvetica"/>
          <w:color w:val="1D2129"/>
          <w:sz w:val="21"/>
          <w:szCs w:val="21"/>
        </w:rPr>
      </w:pPr>
    </w:p>
    <w:p w:rsidR="003228CC" w:rsidRDefault="00C4398B" w:rsidP="00D558A6">
      <w:pPr>
        <w:pStyle w:val="NormalWeb"/>
        <w:rPr>
          <w:rFonts w:ascii="Helvetica" w:hAnsi="Helvetica"/>
          <w:color w:val="1D2129"/>
          <w:sz w:val="21"/>
          <w:szCs w:val="21"/>
        </w:rPr>
      </w:pPr>
      <w:r>
        <w:rPr>
          <w:rFonts w:ascii="Helvetica" w:hAnsi="Helvetica"/>
          <w:color w:val="1D2129"/>
          <w:sz w:val="21"/>
          <w:szCs w:val="21"/>
        </w:rPr>
        <w:t>That method contrasts with the other NSA and GCHQ bases that monitor signals passing through the fibre-optic cables linking countries.</w:t>
      </w:r>
      <w:r w:rsidR="00D558A6">
        <w:rPr>
          <w:rFonts w:ascii="Helvetica" w:hAnsi="Helvetica"/>
          <w:color w:val="1D2129"/>
          <w:sz w:val="21"/>
          <w:szCs w:val="21"/>
        </w:rPr>
        <w:t xml:space="preserve"> </w:t>
      </w:r>
      <w:r>
        <w:rPr>
          <w:rFonts w:ascii="Helvetica" w:hAnsi="Helvetica"/>
          <w:color w:val="1D2129"/>
          <w:sz w:val="21"/>
          <w:szCs w:val="21"/>
        </w:rPr>
        <w:t>Menwith Hill Station also draws on US spy satellites orbiting above target countries around the world. The satellites can locate and capture signals on the ground below generated by mobile phones and even Wi-Fi networks.</w:t>
      </w:r>
    </w:p>
    <w:p w:rsidR="00D558A6" w:rsidRDefault="00D558A6" w:rsidP="00D558A6">
      <w:pPr>
        <w:pStyle w:val="NormalWeb"/>
        <w:rPr>
          <w:rFonts w:ascii="Helvetica" w:hAnsi="Helvetica"/>
          <w:color w:val="1D2129"/>
          <w:sz w:val="21"/>
          <w:szCs w:val="21"/>
        </w:rPr>
      </w:pPr>
    </w:p>
    <w:p w:rsidR="00C4398B" w:rsidRDefault="00C4398B" w:rsidP="00D558A6">
      <w:pPr>
        <w:pStyle w:val="NormalWeb"/>
        <w:rPr>
          <w:rFonts w:ascii="Helvetica" w:hAnsi="Helvetica"/>
          <w:color w:val="1D2129"/>
          <w:sz w:val="21"/>
          <w:szCs w:val="21"/>
        </w:rPr>
      </w:pPr>
      <w:r>
        <w:rPr>
          <w:rFonts w:ascii="Helvetica" w:hAnsi="Helvetica"/>
          <w:color w:val="1D2129"/>
          <w:sz w:val="21"/>
          <w:szCs w:val="21"/>
        </w:rPr>
        <w:t xml:space="preserve">One of the most important tools used at Menwith Hill Station was </w:t>
      </w:r>
      <w:proofErr w:type="spellStart"/>
      <w:r>
        <w:rPr>
          <w:rFonts w:ascii="Helvetica" w:hAnsi="Helvetica"/>
          <w:color w:val="1D2129"/>
          <w:sz w:val="21"/>
          <w:szCs w:val="21"/>
        </w:rPr>
        <w:t>Ghosthunter</w:t>
      </w:r>
      <w:proofErr w:type="spellEnd"/>
      <w:r>
        <w:rPr>
          <w:rFonts w:ascii="Helvetica" w:hAnsi="Helvetica"/>
          <w:color w:val="1D2129"/>
          <w:sz w:val="21"/>
          <w:szCs w:val="21"/>
        </w:rPr>
        <w:t>, the new leaks reveal, whose primary role was "to learn and establish pattern of life for known terrorists who use Internet cafes to communicate." The focus on Internet cafes is explained by the fact that in the areas of int</w:t>
      </w:r>
      <w:r w:rsidR="00D558A6">
        <w:rPr>
          <w:rFonts w:ascii="Helvetica" w:hAnsi="Helvetica"/>
          <w:color w:val="1D2129"/>
          <w:sz w:val="21"/>
          <w:szCs w:val="21"/>
        </w:rPr>
        <w:t xml:space="preserve">erest - mostly in the Middle East - </w:t>
      </w:r>
      <w:r>
        <w:rPr>
          <w:rFonts w:ascii="Helvetica" w:hAnsi="Helvetica"/>
          <w:color w:val="1D2129"/>
          <w:sz w:val="21"/>
          <w:szCs w:val="21"/>
        </w:rPr>
        <w:t>Internet connections are often routed via VSAT satellite systems, which makes them easier to intercept.</w:t>
      </w:r>
    </w:p>
    <w:p w:rsidR="003228CC" w:rsidRDefault="003228CC" w:rsidP="003228CC">
      <w:pPr>
        <w:pStyle w:val="NormalWeb"/>
        <w:rPr>
          <w:rFonts w:ascii="Helvetica" w:hAnsi="Helvetica"/>
          <w:color w:val="1D2129"/>
          <w:sz w:val="21"/>
          <w:szCs w:val="21"/>
        </w:rPr>
      </w:pPr>
    </w:p>
    <w:p w:rsidR="00D558A6" w:rsidRDefault="00C4398B" w:rsidP="003228CC">
      <w:pPr>
        <w:pStyle w:val="NormalWeb"/>
        <w:rPr>
          <w:rFonts w:ascii="Helvetica" w:hAnsi="Helvetica"/>
          <w:color w:val="1D2129"/>
          <w:sz w:val="21"/>
          <w:szCs w:val="21"/>
        </w:rPr>
      </w:pPr>
      <w:r>
        <w:rPr>
          <w:rFonts w:ascii="Helvetica" w:hAnsi="Helvetica"/>
          <w:color w:val="1D2129"/>
          <w:sz w:val="21"/>
          <w:szCs w:val="21"/>
        </w:rPr>
        <w:t>VSAT surveillance was use</w:t>
      </w:r>
      <w:r w:rsidR="00D558A6">
        <w:rPr>
          <w:rFonts w:ascii="Helvetica" w:hAnsi="Helvetica"/>
          <w:color w:val="1D2129"/>
          <w:sz w:val="21"/>
          <w:szCs w:val="21"/>
        </w:rPr>
        <w:t>d to direct military operations:</w:t>
      </w:r>
      <w:r>
        <w:rPr>
          <w:rFonts w:ascii="Helvetica" w:hAnsi="Helvetica"/>
          <w:color w:val="1D2129"/>
          <w:sz w:val="21"/>
          <w:szCs w:val="21"/>
        </w:rPr>
        <w:t xml:space="preserve"> one document provided by Snowden speaks of "30 enemy killed" in Afghanistan as a result of signals intelligence passed to those in the field. Another leak speaks of Menwith Hill Station analysts finding "a new way to </w:t>
      </w:r>
      <w:proofErr w:type="spellStart"/>
      <w:r>
        <w:rPr>
          <w:rFonts w:ascii="Helvetica" w:hAnsi="Helvetica"/>
          <w:color w:val="1D2129"/>
          <w:sz w:val="21"/>
          <w:szCs w:val="21"/>
        </w:rPr>
        <w:t>geolocate</w:t>
      </w:r>
      <w:proofErr w:type="spellEnd"/>
      <w:r>
        <w:rPr>
          <w:rFonts w:ascii="Helvetica" w:hAnsi="Helvetica"/>
          <w:color w:val="1D2129"/>
          <w:sz w:val="21"/>
          <w:szCs w:val="21"/>
        </w:rPr>
        <w:t xml:space="preserve"> targets who are active at Internet cafes in Yemen." "The description of GHOSTWOLF ties Menwith Hill to lethal operations in Yemen, providing the first documentary evidence that directly implicates the UK in covert actions in the country." </w:t>
      </w:r>
    </w:p>
    <w:p w:rsidR="00D558A6" w:rsidRDefault="00D558A6" w:rsidP="003228CC">
      <w:pPr>
        <w:pStyle w:val="NormalWeb"/>
        <w:rPr>
          <w:rFonts w:ascii="Helvetica" w:hAnsi="Helvetica"/>
          <w:color w:val="1D2129"/>
          <w:sz w:val="21"/>
          <w:szCs w:val="21"/>
        </w:rPr>
      </w:pPr>
    </w:p>
    <w:p w:rsidR="003228CC" w:rsidRDefault="00C4398B" w:rsidP="003228CC">
      <w:pPr>
        <w:pStyle w:val="NormalWeb"/>
        <w:rPr>
          <w:rFonts w:ascii="Helvetica" w:hAnsi="Helvetica"/>
          <w:color w:val="1D2129"/>
          <w:sz w:val="21"/>
          <w:szCs w:val="21"/>
        </w:rPr>
      </w:pPr>
      <w:r>
        <w:rPr>
          <w:rFonts w:ascii="Helvetica" w:hAnsi="Helvetica"/>
          <w:color w:val="1D2129"/>
          <w:sz w:val="21"/>
          <w:szCs w:val="21"/>
        </w:rPr>
        <w:t>That's problematic, because Yemen is not a war zone, so those targeted by drones there would not be considered "combatants" and anyone involved in their killing would not be entitled to "combatant immunity."</w:t>
      </w:r>
    </w:p>
    <w:p w:rsidR="003228CC" w:rsidRDefault="00C4398B" w:rsidP="003228CC">
      <w:pPr>
        <w:pStyle w:val="NormalWeb"/>
        <w:rPr>
          <w:rFonts w:ascii="Helvetica" w:hAnsi="Helvetica"/>
          <w:color w:val="1D2129"/>
          <w:sz w:val="21"/>
          <w:szCs w:val="21"/>
        </w:rPr>
      </w:pPr>
      <w:r>
        <w:rPr>
          <w:rFonts w:ascii="Helvetica" w:hAnsi="Helvetica"/>
          <w:color w:val="1D2129"/>
          <w:sz w:val="21"/>
          <w:szCs w:val="21"/>
        </w:rPr>
        <w:br/>
        <w:t xml:space="preserve">This is not a new issue: back in 2014, soon after the first Snowden documents were published, </w:t>
      </w:r>
      <w:r>
        <w:rPr>
          <w:rFonts w:ascii="Helvetica" w:hAnsi="Helvetica"/>
          <w:color w:val="1D2129"/>
          <w:sz w:val="21"/>
          <w:szCs w:val="21"/>
        </w:rPr>
        <w:lastRenderedPageBreak/>
        <w:t>the barrister Jemima Stratford QC published a 32-page analysis of the legal implications in which she warned that "An individual [working at GCHQ] involved in passing that information [used for US drone strikes against non-combatants] is likely to be an accessory to murder."</w:t>
      </w:r>
    </w:p>
    <w:p w:rsidR="003228CC" w:rsidRDefault="00C4398B" w:rsidP="003228CC">
      <w:pPr>
        <w:pStyle w:val="NormalWeb"/>
        <w:rPr>
          <w:rFonts w:ascii="Helvetica" w:hAnsi="Helvetica"/>
          <w:color w:val="1D2129"/>
          <w:sz w:val="21"/>
          <w:szCs w:val="21"/>
        </w:rPr>
      </w:pPr>
      <w:r>
        <w:rPr>
          <w:rFonts w:ascii="Helvetica" w:hAnsi="Helvetica"/>
          <w:color w:val="1D2129"/>
          <w:sz w:val="21"/>
          <w:szCs w:val="21"/>
        </w:rPr>
        <w:br/>
        <w:t>Well done brave protesters and all the supporters both at the DSEI and throughout the three day trial.</w:t>
      </w:r>
    </w:p>
    <w:p w:rsidR="003228CC" w:rsidRDefault="00C4398B" w:rsidP="003228CC">
      <w:pPr>
        <w:pStyle w:val="NormalWeb"/>
        <w:rPr>
          <w:rFonts w:ascii="Helvetica" w:hAnsi="Helvetica"/>
          <w:color w:val="1D2129"/>
          <w:sz w:val="21"/>
          <w:szCs w:val="21"/>
        </w:rPr>
      </w:pPr>
      <w:r>
        <w:rPr>
          <w:rFonts w:ascii="Helvetica" w:hAnsi="Helvetica"/>
          <w:color w:val="1D2129"/>
          <w:sz w:val="21"/>
          <w:szCs w:val="21"/>
        </w:rPr>
        <w:br/>
        <w:t>We will continue with our links with Campaign for Arms Trade and of course Yorkshire CND.</w:t>
      </w:r>
    </w:p>
    <w:p w:rsidR="00C4398B" w:rsidRDefault="00C4398B" w:rsidP="003228CC">
      <w:pPr>
        <w:pStyle w:val="NormalWeb"/>
        <w:rPr>
          <w:rFonts w:ascii="Helvetica" w:hAnsi="Helvetica"/>
          <w:color w:val="1D2129"/>
          <w:sz w:val="21"/>
          <w:szCs w:val="21"/>
        </w:rPr>
      </w:pPr>
      <w:r>
        <w:rPr>
          <w:rFonts w:ascii="Helvetica" w:hAnsi="Helvetica"/>
          <w:color w:val="1D2129"/>
          <w:sz w:val="21"/>
          <w:szCs w:val="21"/>
        </w:rPr>
        <w:br/>
        <w:t>We will also strive for accou</w:t>
      </w:r>
      <w:r w:rsidR="00D558A6">
        <w:rPr>
          <w:rFonts w:ascii="Helvetica" w:hAnsi="Helvetica"/>
          <w:color w:val="1D2129"/>
          <w:sz w:val="21"/>
          <w:szCs w:val="21"/>
        </w:rPr>
        <w:t xml:space="preserve">ntability for this US spy base - </w:t>
      </w:r>
      <w:r>
        <w:rPr>
          <w:rFonts w:ascii="Helvetica" w:hAnsi="Helvetica"/>
          <w:color w:val="1D2129"/>
          <w:sz w:val="21"/>
          <w:szCs w:val="21"/>
        </w:rPr>
        <w:t xml:space="preserve">go back to </w:t>
      </w:r>
      <w:r w:rsidR="00D558A6">
        <w:rPr>
          <w:rFonts w:ascii="Helvetica" w:hAnsi="Helvetica"/>
          <w:color w:val="1D2129"/>
          <w:sz w:val="21"/>
          <w:szCs w:val="21"/>
        </w:rPr>
        <w:t>within your borders!</w:t>
      </w:r>
    </w:p>
    <w:p w:rsidR="0031631A" w:rsidRDefault="0031631A" w:rsidP="003228CC">
      <w:pPr>
        <w:pStyle w:val="NormalWeb"/>
        <w:rPr>
          <w:rFonts w:ascii="Helvetica" w:hAnsi="Helvetica"/>
          <w:color w:val="1D2129"/>
          <w:sz w:val="21"/>
          <w:szCs w:val="21"/>
        </w:rPr>
      </w:pPr>
    </w:p>
    <w:p w:rsidR="0031631A" w:rsidRDefault="00425C57" w:rsidP="003228CC">
      <w:pPr>
        <w:pStyle w:val="NormalWeb"/>
        <w:rPr>
          <w:rFonts w:ascii="Helvetica" w:hAnsi="Helvetica"/>
          <w:color w:val="1D2129"/>
          <w:sz w:val="21"/>
          <w:szCs w:val="21"/>
        </w:rPr>
      </w:pPr>
      <w:r>
        <w:rPr>
          <w:rFonts w:ascii="Helvetica" w:hAnsi="Helvetica"/>
          <w:color w:val="1D2129"/>
          <w:sz w:val="21"/>
          <w:szCs w:val="21"/>
        </w:rPr>
        <w:t xml:space="preserve">Account by </w:t>
      </w:r>
      <w:bookmarkStart w:id="0" w:name="_GoBack"/>
      <w:bookmarkEnd w:id="0"/>
      <w:r w:rsidR="0031631A">
        <w:rPr>
          <w:rFonts w:ascii="Helvetica" w:hAnsi="Helvetica"/>
          <w:color w:val="1D2129"/>
          <w:sz w:val="21"/>
          <w:szCs w:val="21"/>
        </w:rPr>
        <w:t>Brigid-Mary Oates, previously joint coordinator of CAAB and a regular supporter of the Tuesday evening demonstration at NSA/NRO Menwith Hill from 6:30 to 7pm.  This demonstration was started by CAAB in 2000.</w:t>
      </w:r>
    </w:p>
    <w:p w:rsidR="00CE1A7C" w:rsidRDefault="00CE1A7C" w:rsidP="00EF5082">
      <w:pPr>
        <w:spacing w:after="0"/>
      </w:pPr>
    </w:p>
    <w:sectPr w:rsidR="00CE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8B"/>
    <w:rsid w:val="0031631A"/>
    <w:rsid w:val="003228CC"/>
    <w:rsid w:val="00425C57"/>
    <w:rsid w:val="00C4398B"/>
    <w:rsid w:val="00CE1A7C"/>
    <w:rsid w:val="00CE3189"/>
    <w:rsid w:val="00D558A6"/>
    <w:rsid w:val="00E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9B862-7AD4-41A7-9CF9-97783BC5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98B"/>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3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558901">
      <w:bodyDiv w:val="1"/>
      <w:marLeft w:val="0"/>
      <w:marRight w:val="0"/>
      <w:marTop w:val="0"/>
      <w:marBottom w:val="0"/>
      <w:divBdr>
        <w:top w:val="none" w:sz="0" w:space="0" w:color="auto"/>
        <w:left w:val="none" w:sz="0" w:space="0" w:color="auto"/>
        <w:bottom w:val="none" w:sz="0" w:space="0" w:color="auto"/>
        <w:right w:val="none" w:sz="0" w:space="0" w:color="auto"/>
      </w:divBdr>
    </w:div>
    <w:div w:id="17390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brigidmary.oates?fref=gs&amp;dti=145710625924658&amp;hc_location=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2018-01-17T19:01:00Z</dcterms:created>
  <dcterms:modified xsi:type="dcterms:W3CDTF">2018-01-23T14:12:00Z</dcterms:modified>
</cp:coreProperties>
</file>